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sz w:val="30"/>
          <w:szCs w:val="30"/>
        </w:rPr>
      </w:pPr>
      <w:r w:rsidDel="00000000" w:rsidR="00000000" w:rsidRPr="00000000">
        <w:rPr>
          <w:rFonts w:ascii="Verdana" w:cs="Verdana" w:eastAsia="Verdana" w:hAnsi="Verdana"/>
          <w:b w:val="1"/>
          <w:sz w:val="30"/>
          <w:szCs w:val="30"/>
          <w:rtl w:val="0"/>
        </w:rPr>
        <w:t xml:space="preserve">Template RBC policy</w:t>
      </w:r>
      <w:r w:rsidDel="00000000" w:rsidR="00000000" w:rsidRPr="00000000">
        <w:rPr>
          <w:rFonts w:ascii="Verdana" w:cs="Verdana" w:eastAsia="Verdana" w:hAnsi="Verdana"/>
          <w:sz w:val="30"/>
          <w:szCs w:val="30"/>
          <w:rtl w:val="0"/>
        </w:rPr>
        <w:t xml:space="preserve"> </w:t>
        <w:br w:type="textWrapping"/>
      </w:r>
    </w:p>
    <w:p w:rsidR="00000000" w:rsidDel="00000000" w:rsidP="00000000" w:rsidRDefault="00000000" w:rsidRPr="00000000" w14:paraId="00000002">
      <w:pPr>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Why this tool? </w:t>
      </w:r>
      <w:r w:rsidDel="00000000" w:rsidR="00000000" w:rsidRPr="00000000">
        <w:rPr>
          <w:rtl w:val="0"/>
        </w:rPr>
      </w:r>
    </w:p>
    <w:p w:rsidR="00000000" w:rsidDel="00000000" w:rsidP="00000000" w:rsidRDefault="00000000" w:rsidRPr="00000000" w14:paraId="00000003">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Making it easier for Companies to develop a RBC policy which includes supply chain due diligence, as expected by the </w:t>
      </w:r>
      <w:r w:rsidDel="00000000" w:rsidR="00000000" w:rsidRPr="00000000">
        <w:rPr>
          <w:rFonts w:ascii="Verdana" w:cs="Verdana" w:eastAsia="Verdana" w:hAnsi="Verdana"/>
          <w:i w:val="1"/>
          <w:sz w:val="19"/>
          <w:szCs w:val="19"/>
          <w:rtl w:val="0"/>
        </w:rPr>
        <w:t xml:space="preserve">OECD Due Diligence Guidance</w:t>
      </w:r>
      <w:r w:rsidDel="00000000" w:rsidR="00000000" w:rsidRPr="00000000">
        <w:rPr>
          <w:rFonts w:ascii="Verdana" w:cs="Verdana" w:eastAsia="Verdana" w:hAnsi="Verdana"/>
          <w:sz w:val="19"/>
          <w:szCs w:val="19"/>
          <w:rtl w:val="0"/>
        </w:rPr>
        <w:t xml:space="preserve">. </w:t>
      </w:r>
    </w:p>
    <w:p w:rsidR="00000000" w:rsidDel="00000000" w:rsidP="00000000" w:rsidRDefault="00000000" w:rsidRPr="00000000" w14:paraId="00000004">
      <w:pPr>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How does it work?</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The proposed text below could be used for your company’s RBC policy.</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Read the text carefully and replace the text between brackets by your company name.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The policy should be signed by a person with oversight and responsibility for RBC.</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You are free to amend, remove, or add text in order to better suit your company context.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You may use your own (existing) RBC policy as well (this could also be a combination of different corporate or sustainability policies).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Each company is expected to have a public RBC policy on supply chain due diligence. This policy should be updated regularly.</w:t>
      </w:r>
    </w:p>
    <w:p w:rsidR="00000000" w:rsidDel="00000000" w:rsidP="00000000" w:rsidRDefault="00000000" w:rsidRPr="00000000" w14:paraId="0000000B">
      <w:pPr>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What is it?</w:t>
      </w:r>
      <w:r w:rsidDel="00000000" w:rsidR="00000000" w:rsidRPr="00000000">
        <w:rPr>
          <w:rtl w:val="0"/>
        </w:rPr>
      </w:r>
    </w:p>
    <w:p w:rsidR="00000000" w:rsidDel="00000000" w:rsidP="00000000" w:rsidRDefault="00000000" w:rsidRPr="00000000" w14:paraId="0000000C">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A template for an ‘RBC policy’ with special attention for the inclusion of supply chain due diligence. The template policy consists of the following elements: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Mission statement</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Principles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Approach: due diligence, stakeholder engagement, remediation</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Scope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Salient risks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Rule of law &amp; conflicting requirements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Approval and oversight</w:t>
      </w:r>
    </w:p>
    <w:p w:rsidR="00000000" w:rsidDel="00000000" w:rsidP="00000000" w:rsidRDefault="00000000" w:rsidRPr="00000000" w14:paraId="00000014">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Annex I examples of salient risks</w:t>
      </w:r>
    </w:p>
    <w:p w:rsidR="00000000" w:rsidDel="00000000" w:rsidP="00000000" w:rsidRDefault="00000000" w:rsidRPr="00000000" w14:paraId="00000015">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Annex II of the OECD Due Diligence Guidance for Responsible Supply Chains of Minerals from Conflict-Affected and High-Risk Areas (For companies that use gold, tin, tungsten or tantalum)</w:t>
      </w:r>
    </w:p>
    <w:p w:rsidR="00000000" w:rsidDel="00000000" w:rsidP="00000000" w:rsidRDefault="00000000" w:rsidRPr="00000000" w14:paraId="00000016">
      <w:pPr>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17">
      <w:pPr>
        <w:rPr>
          <w:rFonts w:ascii="Verdana" w:cs="Verdana" w:eastAsia="Verdana" w:hAnsi="Verdana"/>
          <w:b w:val="1"/>
          <w:sz w:val="19"/>
          <w:szCs w:val="19"/>
        </w:rPr>
      </w:pPr>
      <w:r w:rsidDel="00000000" w:rsidR="00000000" w:rsidRPr="00000000">
        <w:br w:type="page"/>
      </w:r>
      <w:r w:rsidDel="00000000" w:rsidR="00000000" w:rsidRPr="00000000">
        <w:rPr>
          <w:rtl w:val="0"/>
        </w:rPr>
      </w:r>
    </w:p>
    <w:p w:rsidR="00000000" w:rsidDel="00000000" w:rsidP="00000000" w:rsidRDefault="00000000" w:rsidRPr="00000000" w14:paraId="00000018">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1. Mission Statement</w:t>
      </w:r>
    </w:p>
    <w:p w:rsidR="00000000" w:rsidDel="00000000" w:rsidP="00000000" w:rsidRDefault="00000000" w:rsidRPr="00000000" w14:paraId="00000019">
      <w:pPr>
        <w:rPr>
          <w:rFonts w:ascii="Verdana" w:cs="Verdana" w:eastAsia="Verdana" w:hAnsi="Verdana"/>
          <w:sz w:val="19"/>
          <w:szCs w:val="19"/>
        </w:rPr>
      </w:pPr>
      <w:r w:rsidDel="00000000" w:rsidR="00000000" w:rsidRPr="00000000">
        <w:rPr>
          <w:rFonts w:ascii="Verdana" w:cs="Verdana" w:eastAsia="Verdana" w:hAnsi="Verdana"/>
          <w:sz w:val="19"/>
          <w:szCs w:val="19"/>
          <w:highlight w:val="yellow"/>
          <w:rtl w:val="0"/>
        </w:rPr>
        <w:t xml:space="preserve">[The company]</w:t>
      </w:r>
      <w:r w:rsidDel="00000000" w:rsidR="00000000" w:rsidRPr="00000000">
        <w:rPr>
          <w:rFonts w:ascii="Verdana" w:cs="Verdana" w:eastAsia="Verdana" w:hAnsi="Verdana"/>
          <w:sz w:val="19"/>
          <w:szCs w:val="19"/>
          <w:rtl w:val="0"/>
        </w:rPr>
        <w:t xml:space="preserve"> recognises that business activities have an impact on social and environmental issues. Wherever we operate, we seek to avoid causing or contributing to impacts related to workers, human rights, the environment, bribery, consumers and corporate governance, and to facilitate access to remedy. </w:t>
      </w:r>
    </w:p>
    <w:p w:rsidR="00000000" w:rsidDel="00000000" w:rsidP="00000000" w:rsidRDefault="00000000" w:rsidRPr="00000000" w14:paraId="0000001A">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As a responsible corporate citizen we strive to conduct social and environmental due diligence as established in the OECD Guidelines for Multinational Enterprises and the UN Guiding Principles on Business and Human Rights. We have joined the [</w:t>
      </w:r>
      <w:r w:rsidDel="00000000" w:rsidR="00000000" w:rsidRPr="00000000">
        <w:rPr>
          <w:rFonts w:ascii="Verdana" w:cs="Verdana" w:eastAsia="Verdana" w:hAnsi="Verdana"/>
          <w:sz w:val="19"/>
          <w:szCs w:val="19"/>
          <w:highlight w:val="yellow"/>
          <w:rtl w:val="0"/>
        </w:rPr>
        <w:t xml:space="preserve">multi-stakeholder mechanism</w:t>
      </w:r>
      <w:r w:rsidDel="00000000" w:rsidR="00000000" w:rsidRPr="00000000">
        <w:rPr>
          <w:rFonts w:ascii="Verdana" w:cs="Verdana" w:eastAsia="Verdana" w:hAnsi="Verdana"/>
          <w:sz w:val="19"/>
          <w:szCs w:val="19"/>
          <w:rtl w:val="0"/>
        </w:rPr>
        <w:t xml:space="preserve">] for implementing individual and collective due diligence; and for jointly developing long-term solutions towards tackling social and environmental risks in global mica supply chains.</w:t>
      </w:r>
      <w:r w:rsidDel="00000000" w:rsidR="00000000" w:rsidRPr="00000000">
        <w:rPr>
          <w:rFonts w:ascii="Verdana" w:cs="Verdana" w:eastAsia="Verdana" w:hAnsi="Verdana"/>
          <w:sz w:val="19"/>
          <w:szCs w:val="19"/>
          <w:rtl w:val="0"/>
        </w:rPr>
        <w:t xml:space="preserve"> </w:t>
      </w:r>
    </w:p>
    <w:p w:rsidR="00000000" w:rsidDel="00000000" w:rsidP="00000000" w:rsidRDefault="00000000" w:rsidRPr="00000000" w14:paraId="0000001B">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2. Our principles</w:t>
      </w:r>
    </w:p>
    <w:p w:rsidR="00000000" w:rsidDel="00000000" w:rsidP="00000000" w:rsidRDefault="00000000" w:rsidRPr="00000000" w14:paraId="0000001C">
      <w:pPr>
        <w:rPr>
          <w:rFonts w:ascii="Verdana" w:cs="Verdana" w:eastAsia="Verdana" w:hAnsi="Verdana"/>
          <w:sz w:val="19"/>
          <w:szCs w:val="19"/>
        </w:rPr>
      </w:pPr>
      <w:r w:rsidDel="00000000" w:rsidR="00000000" w:rsidRPr="00000000">
        <w:rPr>
          <w:rFonts w:ascii="Verdana" w:cs="Verdana" w:eastAsia="Verdana" w:hAnsi="Verdana"/>
          <w:sz w:val="19"/>
          <w:szCs w:val="19"/>
          <w:highlight w:val="yellow"/>
          <w:rtl w:val="0"/>
        </w:rPr>
        <w:t xml:space="preserve">[The company]</w:t>
      </w:r>
      <w:r w:rsidDel="00000000" w:rsidR="00000000" w:rsidRPr="00000000">
        <w:rPr>
          <w:rFonts w:ascii="Verdana" w:cs="Verdana" w:eastAsia="Verdana" w:hAnsi="Verdana"/>
          <w:sz w:val="19"/>
          <w:szCs w:val="19"/>
          <w:rtl w:val="0"/>
        </w:rPr>
        <w:t xml:space="preserve"> respect and uphold at all times the internationally recognised human rights as described in the </w:t>
      </w:r>
      <w:r w:rsidDel="00000000" w:rsidR="00000000" w:rsidRPr="00000000">
        <w:rPr>
          <w:rFonts w:ascii="Verdana" w:cs="Verdana" w:eastAsia="Verdana" w:hAnsi="Verdana"/>
          <w:i w:val="1"/>
          <w:sz w:val="19"/>
          <w:szCs w:val="19"/>
          <w:rtl w:val="0"/>
        </w:rPr>
        <w:t xml:space="preserve">Universal Declaration of Human Rights</w:t>
      </w:r>
      <w:r w:rsidDel="00000000" w:rsidR="00000000" w:rsidRPr="00000000">
        <w:rPr>
          <w:rFonts w:ascii="Verdana" w:cs="Verdana" w:eastAsia="Verdana" w:hAnsi="Verdana"/>
          <w:sz w:val="19"/>
          <w:szCs w:val="19"/>
          <w:rtl w:val="0"/>
        </w:rPr>
        <w:t xml:space="preserve">, codified in the </w:t>
      </w:r>
      <w:r w:rsidDel="00000000" w:rsidR="00000000" w:rsidRPr="00000000">
        <w:rPr>
          <w:rFonts w:ascii="Verdana" w:cs="Verdana" w:eastAsia="Verdana" w:hAnsi="Verdana"/>
          <w:i w:val="1"/>
          <w:sz w:val="19"/>
          <w:szCs w:val="19"/>
          <w:rtl w:val="0"/>
        </w:rPr>
        <w:t xml:space="preserve">International Covenant on Civil and Political Rights</w:t>
      </w:r>
      <w:r w:rsidDel="00000000" w:rsidR="00000000" w:rsidRPr="00000000">
        <w:rPr>
          <w:rFonts w:ascii="Verdana" w:cs="Verdana" w:eastAsia="Verdana" w:hAnsi="Verdana"/>
          <w:sz w:val="19"/>
          <w:szCs w:val="19"/>
          <w:rtl w:val="0"/>
        </w:rPr>
        <w:t xml:space="preserve"> and the </w:t>
      </w:r>
      <w:r w:rsidDel="00000000" w:rsidR="00000000" w:rsidRPr="00000000">
        <w:rPr>
          <w:rFonts w:ascii="Verdana" w:cs="Verdana" w:eastAsia="Verdana" w:hAnsi="Verdana"/>
          <w:i w:val="1"/>
          <w:sz w:val="19"/>
          <w:szCs w:val="19"/>
          <w:rtl w:val="0"/>
        </w:rPr>
        <w:t xml:space="preserve">International Covenant on Economic, Social and Cultural Rights</w:t>
      </w:r>
      <w:r w:rsidDel="00000000" w:rsidR="00000000" w:rsidRPr="00000000">
        <w:rPr>
          <w:rFonts w:ascii="Verdana" w:cs="Verdana" w:eastAsia="Verdana" w:hAnsi="Verdana"/>
          <w:sz w:val="19"/>
          <w:szCs w:val="19"/>
          <w:rtl w:val="0"/>
        </w:rPr>
        <w:t xml:space="preserve">, and articulated in specialised human rights treaties such as the </w:t>
      </w:r>
      <w:r w:rsidDel="00000000" w:rsidR="00000000" w:rsidRPr="00000000">
        <w:rPr>
          <w:rFonts w:ascii="Verdana" w:cs="Verdana" w:eastAsia="Verdana" w:hAnsi="Verdana"/>
          <w:i w:val="1"/>
          <w:sz w:val="19"/>
          <w:szCs w:val="19"/>
          <w:rtl w:val="0"/>
        </w:rPr>
        <w:t xml:space="preserve">Convention on the Rights of the Child</w:t>
      </w:r>
      <w:r w:rsidDel="00000000" w:rsidR="00000000" w:rsidRPr="00000000">
        <w:rPr>
          <w:rFonts w:ascii="Verdana" w:cs="Verdana" w:eastAsia="Verdana" w:hAnsi="Verdana"/>
          <w:sz w:val="19"/>
          <w:szCs w:val="19"/>
          <w:rtl w:val="0"/>
        </w:rPr>
        <w:t xml:space="preserve"> (CRC) and the </w:t>
      </w:r>
      <w:r w:rsidDel="00000000" w:rsidR="00000000" w:rsidRPr="00000000">
        <w:rPr>
          <w:rFonts w:ascii="Verdana" w:cs="Verdana" w:eastAsia="Verdana" w:hAnsi="Verdana"/>
          <w:i w:val="1"/>
          <w:sz w:val="19"/>
          <w:szCs w:val="19"/>
          <w:rtl w:val="0"/>
        </w:rPr>
        <w:t xml:space="preserve">Convention on the Elimination of All Forms of Discrimination Against Women</w:t>
      </w:r>
      <w:r w:rsidDel="00000000" w:rsidR="00000000" w:rsidRPr="00000000">
        <w:rPr>
          <w:rFonts w:ascii="Verdana" w:cs="Verdana" w:eastAsia="Verdana" w:hAnsi="Verdana"/>
          <w:sz w:val="19"/>
          <w:szCs w:val="19"/>
          <w:rtl w:val="0"/>
        </w:rPr>
        <w:t xml:space="preserve"> (CEDAW), treaties that focus on the needs of particularly disadvantaged, marginalised, and vulnerable groups of people all over the world.</w:t>
      </w:r>
      <w:r w:rsidDel="00000000" w:rsidR="00000000" w:rsidRPr="00000000">
        <w:rPr>
          <w:rFonts w:ascii="Verdana" w:cs="Verdana" w:eastAsia="Verdana" w:hAnsi="Verdana"/>
          <w:sz w:val="19"/>
          <w:szCs w:val="19"/>
          <w:vertAlign w:val="superscript"/>
        </w:rPr>
        <w:footnoteReference w:customMarkFollows="0" w:id="0"/>
      </w:r>
      <w:r w:rsidDel="00000000" w:rsidR="00000000" w:rsidRPr="00000000">
        <w:rPr>
          <w:rFonts w:ascii="Verdana" w:cs="Verdana" w:eastAsia="Verdana" w:hAnsi="Verdana"/>
          <w:sz w:val="19"/>
          <w:szCs w:val="19"/>
          <w:rtl w:val="0"/>
        </w:rPr>
        <w:t xml:space="preserve"> </w:t>
      </w:r>
    </w:p>
    <w:p w:rsidR="00000000" w:rsidDel="00000000" w:rsidP="00000000" w:rsidRDefault="00000000" w:rsidRPr="00000000" w14:paraId="0000001D">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In addition, with regard to labour standards, we specifically commit to uphold the principles concerning fundamental rights contained in the core conventions of the International Labour Organization (ILO) as set forth in its </w:t>
      </w:r>
      <w:r w:rsidDel="00000000" w:rsidR="00000000" w:rsidRPr="00000000">
        <w:rPr>
          <w:rFonts w:ascii="Verdana" w:cs="Verdana" w:eastAsia="Verdana" w:hAnsi="Verdana"/>
          <w:i w:val="1"/>
          <w:sz w:val="19"/>
          <w:szCs w:val="19"/>
          <w:rtl w:val="0"/>
        </w:rPr>
        <w:t xml:space="preserve">Declaration on Fundamental Principles and Rights at Work</w:t>
      </w:r>
      <w:r w:rsidDel="00000000" w:rsidR="00000000" w:rsidRPr="00000000">
        <w:rPr>
          <w:rFonts w:ascii="Verdana" w:cs="Verdana" w:eastAsia="Verdana" w:hAnsi="Verdana"/>
          <w:sz w:val="19"/>
          <w:szCs w:val="19"/>
          <w:rtl w:val="0"/>
        </w:rPr>
        <w:t xml:space="preserve">.</w:t>
      </w:r>
    </w:p>
    <w:p w:rsidR="00000000" w:rsidDel="00000000" w:rsidP="00000000" w:rsidRDefault="00000000" w:rsidRPr="00000000" w14:paraId="0000001E">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With regard to environmental standards, we are committed to bring our policies and operations in line with the principles and decisions of international environmental agreements, notably the </w:t>
      </w:r>
      <w:r w:rsidDel="00000000" w:rsidR="00000000" w:rsidRPr="00000000">
        <w:rPr>
          <w:rFonts w:ascii="Verdana" w:cs="Verdana" w:eastAsia="Verdana" w:hAnsi="Verdana"/>
          <w:i w:val="1"/>
          <w:sz w:val="19"/>
          <w:szCs w:val="19"/>
          <w:rtl w:val="0"/>
        </w:rPr>
        <w:t xml:space="preserve">Convention on Biological Diversity</w:t>
      </w:r>
      <w:r w:rsidDel="00000000" w:rsidR="00000000" w:rsidRPr="00000000">
        <w:rPr>
          <w:rFonts w:ascii="Verdana" w:cs="Verdana" w:eastAsia="Verdana" w:hAnsi="Verdana"/>
          <w:sz w:val="19"/>
          <w:szCs w:val="19"/>
          <w:rtl w:val="0"/>
        </w:rPr>
        <w:t xml:space="preserve"> (CBD), the </w:t>
      </w:r>
      <w:r w:rsidDel="00000000" w:rsidR="00000000" w:rsidRPr="00000000">
        <w:rPr>
          <w:rFonts w:ascii="Verdana" w:cs="Verdana" w:eastAsia="Verdana" w:hAnsi="Verdana"/>
          <w:i w:val="1"/>
          <w:sz w:val="19"/>
          <w:szCs w:val="19"/>
          <w:rtl w:val="0"/>
        </w:rPr>
        <w:t xml:space="preserve">United Nations Framework Convention on Climate Change </w:t>
      </w:r>
      <w:r w:rsidDel="00000000" w:rsidR="00000000" w:rsidRPr="00000000">
        <w:rPr>
          <w:rFonts w:ascii="Verdana" w:cs="Verdana" w:eastAsia="Verdana" w:hAnsi="Verdana"/>
          <w:sz w:val="19"/>
          <w:szCs w:val="19"/>
          <w:rtl w:val="0"/>
        </w:rPr>
        <w:t xml:space="preserve">(UNFCCC) – in particular the</w:t>
      </w:r>
      <w:r w:rsidDel="00000000" w:rsidR="00000000" w:rsidRPr="00000000">
        <w:rPr>
          <w:rFonts w:ascii="Verdana" w:cs="Verdana" w:eastAsia="Verdana" w:hAnsi="Verdana"/>
          <w:i w:val="1"/>
          <w:sz w:val="19"/>
          <w:szCs w:val="19"/>
          <w:rtl w:val="0"/>
        </w:rPr>
        <w:t xml:space="preserve"> 2015 Paris Agreement</w:t>
      </w:r>
      <w:r w:rsidDel="00000000" w:rsidR="00000000" w:rsidRPr="00000000">
        <w:rPr>
          <w:rFonts w:ascii="Verdana" w:cs="Verdana" w:eastAsia="Verdana" w:hAnsi="Verdana"/>
          <w:sz w:val="19"/>
          <w:szCs w:val="19"/>
          <w:rtl w:val="0"/>
        </w:rPr>
        <w:t xml:space="preserve"> – and the </w:t>
      </w:r>
      <w:r w:rsidDel="00000000" w:rsidR="00000000" w:rsidRPr="00000000">
        <w:rPr>
          <w:rFonts w:ascii="Verdana" w:cs="Verdana" w:eastAsia="Verdana" w:hAnsi="Verdana"/>
          <w:i w:val="1"/>
          <w:sz w:val="19"/>
          <w:szCs w:val="19"/>
          <w:rtl w:val="0"/>
        </w:rPr>
        <w:t xml:space="preserve">United Nations Convention to Combat Desertification</w:t>
      </w:r>
      <w:r w:rsidDel="00000000" w:rsidR="00000000" w:rsidRPr="00000000">
        <w:rPr>
          <w:rFonts w:ascii="Verdana" w:cs="Verdana" w:eastAsia="Verdana" w:hAnsi="Verdana"/>
          <w:sz w:val="19"/>
          <w:szCs w:val="19"/>
          <w:rtl w:val="0"/>
        </w:rPr>
        <w:t xml:space="preserve"> (UNCCD). We will at all times comply with international and national environmental regulations, standards and best practices.</w:t>
      </w:r>
    </w:p>
    <w:p w:rsidR="00000000" w:rsidDel="00000000" w:rsidP="00000000" w:rsidRDefault="00000000" w:rsidRPr="00000000" w14:paraId="0000001F">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Note: In some cases where a company has significant interaction with a potentially vulnerable group, it may decide to prepare and refer to a separate, dedicated policy in relation to that group, e.g. an indigenous peoples’ or children’s rights’ policy.</w:t>
      </w:r>
    </w:p>
    <w:p w:rsidR="00000000" w:rsidDel="00000000" w:rsidP="00000000" w:rsidRDefault="00000000" w:rsidRPr="00000000" w14:paraId="00000020">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3. Approach: due diligence, stakeholder engagement, remediation</w:t>
      </w:r>
    </w:p>
    <w:p w:rsidR="00000000" w:rsidDel="00000000" w:rsidP="00000000" w:rsidRDefault="00000000" w:rsidRPr="00000000" w14:paraId="00000021">
      <w:pPr>
        <w:rPr>
          <w:rFonts w:ascii="Verdana" w:cs="Verdana" w:eastAsia="Verdana" w:hAnsi="Verdana"/>
          <w:sz w:val="19"/>
          <w:szCs w:val="19"/>
        </w:rPr>
      </w:pPr>
      <w:r w:rsidDel="00000000" w:rsidR="00000000" w:rsidRPr="00000000">
        <w:rPr>
          <w:rFonts w:ascii="Verdana" w:cs="Verdana" w:eastAsia="Verdana" w:hAnsi="Verdana"/>
          <w:sz w:val="19"/>
          <w:szCs w:val="19"/>
          <w:highlight w:val="yellow"/>
          <w:rtl w:val="0"/>
        </w:rPr>
        <w:t xml:space="preserve">[The company]</w:t>
      </w:r>
      <w:r w:rsidDel="00000000" w:rsidR="00000000" w:rsidRPr="00000000">
        <w:rPr>
          <w:rFonts w:ascii="Verdana" w:cs="Verdana" w:eastAsia="Verdana" w:hAnsi="Verdana"/>
          <w:sz w:val="19"/>
          <w:szCs w:val="19"/>
          <w:rtl w:val="0"/>
        </w:rPr>
        <w:t xml:space="preserve"> has embraced the six step approach of the </w:t>
      </w:r>
      <w:r w:rsidDel="00000000" w:rsidR="00000000" w:rsidRPr="00000000">
        <w:rPr>
          <w:rFonts w:ascii="Verdana" w:cs="Verdana" w:eastAsia="Verdana" w:hAnsi="Verdana"/>
          <w:i w:val="1"/>
          <w:sz w:val="19"/>
          <w:szCs w:val="19"/>
          <w:rtl w:val="0"/>
        </w:rPr>
        <w:t xml:space="preserve">OECD Due Diligence Guidance for Responsible Business Conduct</w:t>
      </w:r>
      <w:r w:rsidDel="00000000" w:rsidR="00000000" w:rsidRPr="00000000">
        <w:rPr>
          <w:rFonts w:ascii="Verdana" w:cs="Verdana" w:eastAsia="Verdana" w:hAnsi="Verdana"/>
          <w:sz w:val="19"/>
          <w:szCs w:val="19"/>
          <w:rtl w:val="0"/>
        </w:rPr>
        <w:t xml:space="preserve">. The core features of this </w:t>
      </w:r>
      <w:r w:rsidDel="00000000" w:rsidR="00000000" w:rsidRPr="00000000">
        <w:rPr>
          <w:rFonts w:ascii="Verdana" w:cs="Verdana" w:eastAsia="Verdana" w:hAnsi="Verdana"/>
          <w:b w:val="1"/>
          <w:sz w:val="19"/>
          <w:szCs w:val="19"/>
          <w:rtl w:val="0"/>
        </w:rPr>
        <w:t xml:space="preserve">due diligence process</w:t>
      </w:r>
      <w:r w:rsidDel="00000000" w:rsidR="00000000" w:rsidRPr="00000000">
        <w:rPr>
          <w:rFonts w:ascii="Verdana" w:cs="Verdana" w:eastAsia="Verdana" w:hAnsi="Verdana"/>
          <w:sz w:val="19"/>
          <w:szCs w:val="19"/>
          <w:rtl w:val="0"/>
        </w:rPr>
        <w:t xml:space="preserve"> are as follows:</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the process is aimed at ‘demonstrating’ that our principles are not infringed upon in the course of doing business;</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it consists of:</w:t>
      </w:r>
    </w:p>
    <w:p w:rsidR="00000000" w:rsidDel="00000000" w:rsidP="00000000" w:rsidRDefault="00000000" w:rsidRPr="00000000" w14:paraId="0000002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Embedding responsible business conduct into policies and management systems;</w:t>
      </w:r>
    </w:p>
    <w:p w:rsidR="00000000" w:rsidDel="00000000" w:rsidP="00000000" w:rsidRDefault="00000000" w:rsidRPr="00000000" w14:paraId="0000002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Identifying and assessing actual and potential adverse impacts;</w:t>
      </w:r>
    </w:p>
    <w:p w:rsidR="00000000" w:rsidDel="00000000" w:rsidP="00000000" w:rsidRDefault="00000000" w:rsidRPr="00000000" w14:paraId="0000002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Integrating and acting upon the findings (cease, prevent or mitigate adverse impacts);</w:t>
      </w:r>
    </w:p>
    <w:p w:rsidR="00000000" w:rsidDel="00000000" w:rsidP="00000000" w:rsidRDefault="00000000" w:rsidRPr="00000000" w14:paraId="0000002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Tracking the effectiveness of the response;</w:t>
      </w:r>
    </w:p>
    <w:p w:rsidR="00000000" w:rsidDel="00000000" w:rsidP="00000000" w:rsidRDefault="00000000" w:rsidRPr="00000000" w14:paraId="0000002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Communicating how adverse impacts are addressed;</w:t>
      </w:r>
    </w:p>
    <w:p w:rsidR="00000000" w:rsidDel="00000000" w:rsidP="00000000" w:rsidRDefault="00000000" w:rsidRPr="00000000" w14:paraId="0000002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Providing for or cooperating in remediation when appropriate;</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it applies to </w:t>
      </w:r>
      <w:r w:rsidDel="00000000" w:rsidR="00000000" w:rsidRPr="00000000">
        <w:rPr>
          <w:rFonts w:ascii="Verdana" w:cs="Verdana" w:eastAsia="Verdana" w:hAnsi="Verdana"/>
          <w:b w:val="0"/>
          <w:i w:val="0"/>
          <w:smallCaps w:val="0"/>
          <w:strike w:val="0"/>
          <w:color w:val="000000"/>
          <w:sz w:val="19"/>
          <w:szCs w:val="19"/>
          <w:highlight w:val="yellow"/>
          <w:u w:val="none"/>
          <w:vertAlign w:val="baseline"/>
          <w:rtl w:val="0"/>
        </w:rPr>
        <w:t xml:space="preserve">[company name]</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's own activities and to its relationships with suppliers and other business relationships. </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it is different from other due diligence activities in that it focuses on adverse impacts on individuals, communities, their environment and on their rights, and not on the risks to the company;</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the process will be reviewed regularly and updated if needed, because of the fact that risks may change over time, which means that due diligence is an ongoing process;</w:t>
      </w:r>
    </w:p>
    <w:p w:rsidR="00000000" w:rsidDel="00000000" w:rsidP="00000000" w:rsidRDefault="00000000" w:rsidRPr="00000000" w14:paraId="0000002D">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We will collaborate with suppliers and other organisations to increase our leverage to address and mitigate possible adverse impacts. As a last resort, disengagement is an option if a supplier or business partner refuses to prevent impacts after a notice and warning process.</w:t>
      </w:r>
    </w:p>
    <w:p w:rsidR="00000000" w:rsidDel="00000000" w:rsidP="00000000" w:rsidRDefault="00000000" w:rsidRPr="00000000" w14:paraId="0000002E">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With regard to </w:t>
      </w:r>
      <w:r w:rsidDel="00000000" w:rsidR="00000000" w:rsidRPr="00000000">
        <w:rPr>
          <w:rFonts w:ascii="Verdana" w:cs="Verdana" w:eastAsia="Verdana" w:hAnsi="Verdana"/>
          <w:b w:val="1"/>
          <w:sz w:val="19"/>
          <w:szCs w:val="19"/>
          <w:rtl w:val="0"/>
        </w:rPr>
        <w:t xml:space="preserve">stakeholder engagement</w:t>
      </w:r>
      <w:r w:rsidDel="00000000" w:rsidR="00000000" w:rsidRPr="00000000">
        <w:rPr>
          <w:rFonts w:ascii="Verdana" w:cs="Verdana" w:eastAsia="Verdana" w:hAnsi="Verdana"/>
          <w:sz w:val="19"/>
          <w:szCs w:val="19"/>
          <w:rtl w:val="0"/>
        </w:rPr>
        <w:t xml:space="preserve">, </w:t>
      </w:r>
      <w:r w:rsidDel="00000000" w:rsidR="00000000" w:rsidRPr="00000000">
        <w:rPr>
          <w:rFonts w:ascii="Verdana" w:cs="Verdana" w:eastAsia="Verdana" w:hAnsi="Verdana"/>
          <w:sz w:val="19"/>
          <w:szCs w:val="19"/>
          <w:highlight w:val="yellow"/>
          <w:rtl w:val="0"/>
        </w:rPr>
        <w:t xml:space="preserve">[company name]</w:t>
      </w:r>
      <w:r w:rsidDel="00000000" w:rsidR="00000000" w:rsidRPr="00000000">
        <w:rPr>
          <w:rFonts w:ascii="Verdana" w:cs="Verdana" w:eastAsia="Verdana" w:hAnsi="Verdana"/>
          <w:sz w:val="19"/>
          <w:szCs w:val="19"/>
          <w:rtl w:val="0"/>
        </w:rPr>
        <w:t xml:space="preserve"> recognises that risks relating to people and the environment require meaningful engagement with internal and external stakeholders. To that end, we engage with both internal and external stakeholders, including our most vulnerable groups, on our responsible business conduct related policies and strategies, and to help us define and understand our (potential) social and environmental impacts. </w:t>
      </w:r>
    </w:p>
    <w:p w:rsidR="00000000" w:rsidDel="00000000" w:rsidP="00000000" w:rsidRDefault="00000000" w:rsidRPr="00000000" w14:paraId="0000002F">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Stakeholder engagement is particularly important in relation to identifying, assessing and </w:t>
      </w:r>
      <w:r w:rsidDel="00000000" w:rsidR="00000000" w:rsidRPr="00000000">
        <w:rPr>
          <w:rFonts w:ascii="Verdana" w:cs="Verdana" w:eastAsia="Verdana" w:hAnsi="Verdana"/>
          <w:b w:val="1"/>
          <w:sz w:val="19"/>
          <w:szCs w:val="19"/>
          <w:rtl w:val="0"/>
        </w:rPr>
        <w:t xml:space="preserve">remedying </w:t>
      </w:r>
      <w:r w:rsidDel="00000000" w:rsidR="00000000" w:rsidRPr="00000000">
        <w:rPr>
          <w:rFonts w:ascii="Verdana" w:cs="Verdana" w:eastAsia="Verdana" w:hAnsi="Verdana"/>
          <w:sz w:val="19"/>
          <w:szCs w:val="19"/>
          <w:rtl w:val="0"/>
        </w:rPr>
        <w:t xml:space="preserve">adverse</w:t>
      </w:r>
      <w:r w:rsidDel="00000000" w:rsidR="00000000" w:rsidRPr="00000000">
        <w:rPr>
          <w:rFonts w:ascii="Verdana" w:cs="Verdana" w:eastAsia="Verdana" w:hAnsi="Verdana"/>
          <w:b w:val="1"/>
          <w:sz w:val="19"/>
          <w:szCs w:val="19"/>
          <w:rtl w:val="0"/>
        </w:rPr>
        <w:t xml:space="preserve"> </w:t>
      </w:r>
      <w:r w:rsidDel="00000000" w:rsidR="00000000" w:rsidRPr="00000000">
        <w:rPr>
          <w:rFonts w:ascii="Verdana" w:cs="Verdana" w:eastAsia="Verdana" w:hAnsi="Verdana"/>
          <w:sz w:val="19"/>
          <w:szCs w:val="19"/>
          <w:rtl w:val="0"/>
        </w:rPr>
        <w:t xml:space="preserve">impacts among our stakeholders. In case we cause or contribute to an adverse impact we will endeavour to remedy or co-operate in the remediation of the situation through legitimate processes. </w:t>
      </w:r>
      <w:r w:rsidDel="00000000" w:rsidR="00000000" w:rsidRPr="00000000">
        <w:rPr>
          <w:rFonts w:ascii="Verdana" w:cs="Verdana" w:eastAsia="Verdana" w:hAnsi="Verdana"/>
          <w:sz w:val="19"/>
          <w:szCs w:val="19"/>
          <w:highlight w:val="yellow"/>
          <w:rtl w:val="0"/>
        </w:rPr>
        <w:t xml:space="preserve">[Company name]</w:t>
      </w:r>
      <w:r w:rsidDel="00000000" w:rsidR="00000000" w:rsidRPr="00000000">
        <w:rPr>
          <w:rFonts w:ascii="Verdana" w:cs="Verdana" w:eastAsia="Verdana" w:hAnsi="Verdana"/>
          <w:sz w:val="19"/>
          <w:szCs w:val="19"/>
          <w:rtl w:val="0"/>
        </w:rPr>
        <w:t xml:space="preserve"> therefore seeks to have grievance mechanisms in place, both for employees and for other relevant stakeholders. We will report publicly on how complaints have been managed. In situations where we are directly linked to negative human and environmental rights impacts because of activities in our supply chain, we will seek to use our leverage to prevent or mitigate those impacts.</w:t>
      </w:r>
    </w:p>
    <w:p w:rsidR="00000000" w:rsidDel="00000000" w:rsidP="00000000" w:rsidRDefault="00000000" w:rsidRPr="00000000" w14:paraId="00000030">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4. Scope</w:t>
      </w:r>
    </w:p>
    <w:p w:rsidR="00000000" w:rsidDel="00000000" w:rsidP="00000000" w:rsidRDefault="00000000" w:rsidRPr="00000000" w14:paraId="00000031">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This policy applies to (1) all employees and employees of </w:t>
      </w:r>
      <w:r w:rsidDel="00000000" w:rsidR="00000000" w:rsidRPr="00000000">
        <w:rPr>
          <w:rFonts w:ascii="Verdana" w:cs="Verdana" w:eastAsia="Verdana" w:hAnsi="Verdana"/>
          <w:sz w:val="19"/>
          <w:szCs w:val="19"/>
          <w:highlight w:val="yellow"/>
          <w:rtl w:val="0"/>
        </w:rPr>
        <w:t xml:space="preserve">[company name, subsidiaries, entities it owns, business units where company has a controlling interest]</w:t>
      </w:r>
      <w:r w:rsidDel="00000000" w:rsidR="00000000" w:rsidRPr="00000000">
        <w:rPr>
          <w:rFonts w:ascii="Verdana" w:cs="Verdana" w:eastAsia="Verdana" w:hAnsi="Verdana"/>
          <w:sz w:val="19"/>
          <w:szCs w:val="19"/>
          <w:rtl w:val="0"/>
        </w:rPr>
        <w:t xml:space="preserve">. It also applies, as far as is reasonably achievable, to (2) our upstream and downstream supply chain through partners, suppliers and third party contractors. </w:t>
      </w:r>
    </w:p>
    <w:p w:rsidR="00000000" w:rsidDel="00000000" w:rsidP="00000000" w:rsidRDefault="00000000" w:rsidRPr="00000000" w14:paraId="00000032">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Ad 1. Employees</w:t>
      </w:r>
    </w:p>
    <w:p w:rsidR="00000000" w:rsidDel="00000000" w:rsidP="00000000" w:rsidRDefault="00000000" w:rsidRPr="00000000" w14:paraId="00000033">
      <w:pPr>
        <w:rPr>
          <w:rFonts w:ascii="Verdana" w:cs="Verdana" w:eastAsia="Verdana" w:hAnsi="Verdana"/>
          <w:sz w:val="19"/>
          <w:szCs w:val="19"/>
        </w:rPr>
      </w:pPr>
      <w:r w:rsidDel="00000000" w:rsidR="00000000" w:rsidRPr="00000000">
        <w:rPr>
          <w:rFonts w:ascii="Verdana" w:cs="Verdana" w:eastAsia="Verdana" w:hAnsi="Verdana"/>
          <w:sz w:val="19"/>
          <w:szCs w:val="19"/>
          <w:highlight w:val="yellow"/>
          <w:rtl w:val="0"/>
        </w:rPr>
        <w:t xml:space="preserve">[Company name]</w:t>
      </w:r>
      <w:r w:rsidDel="00000000" w:rsidR="00000000" w:rsidRPr="00000000">
        <w:rPr>
          <w:rFonts w:ascii="Verdana" w:cs="Verdana" w:eastAsia="Verdana" w:hAnsi="Verdana"/>
          <w:sz w:val="19"/>
          <w:szCs w:val="19"/>
          <w:rtl w:val="0"/>
        </w:rPr>
        <w:t xml:space="preserve"> treats all of our employees with respect and dignity and promotes diversity and inclusion in the workplace. Our company policies and procedures adhere to all applicable domestic laws and are consistent with ILO core labour principles, including freedom of association and collective bargaining, non-discrimination, equal remuneration and the elimination of forced labour and child labour. </w:t>
      </w:r>
    </w:p>
    <w:p w:rsidR="00000000" w:rsidDel="00000000" w:rsidP="00000000" w:rsidRDefault="00000000" w:rsidRPr="00000000" w14:paraId="00000034">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[Refer to separate policies / employee code of conduct if applicable]</w:t>
      </w:r>
    </w:p>
    <w:p w:rsidR="00000000" w:rsidDel="00000000" w:rsidP="00000000" w:rsidRDefault="00000000" w:rsidRPr="00000000" w14:paraId="00000035">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Ad 2. Suppliers, contractors and other business partners</w:t>
      </w:r>
    </w:p>
    <w:p w:rsidR="00000000" w:rsidDel="00000000" w:rsidP="00000000" w:rsidRDefault="00000000" w:rsidRPr="00000000" w14:paraId="00000036">
      <w:pPr>
        <w:rPr>
          <w:rFonts w:ascii="Verdana" w:cs="Verdana" w:eastAsia="Verdana" w:hAnsi="Verdana"/>
          <w:sz w:val="19"/>
          <w:szCs w:val="19"/>
        </w:rPr>
      </w:pPr>
      <w:r w:rsidDel="00000000" w:rsidR="00000000" w:rsidRPr="00000000">
        <w:rPr>
          <w:rFonts w:ascii="Verdana" w:cs="Verdana" w:eastAsia="Verdana" w:hAnsi="Verdana"/>
          <w:sz w:val="19"/>
          <w:szCs w:val="19"/>
          <w:highlight w:val="yellow"/>
          <w:rtl w:val="0"/>
        </w:rPr>
        <w:t xml:space="preserve">[Company name]</w:t>
      </w:r>
      <w:r w:rsidDel="00000000" w:rsidR="00000000" w:rsidRPr="00000000">
        <w:rPr>
          <w:rFonts w:ascii="Verdana" w:cs="Verdana" w:eastAsia="Verdana" w:hAnsi="Verdana"/>
          <w:sz w:val="19"/>
          <w:szCs w:val="19"/>
          <w:rtl w:val="0"/>
        </w:rPr>
        <w:t xml:space="preserve"> expects its customers, suppliers and their respective supply chains, and other business partners to uphold the commitments set out in this policy. Our principles, including compliance with this policy, are included in contracts. </w:t>
      </w:r>
    </w:p>
    <w:p w:rsidR="00000000" w:rsidDel="00000000" w:rsidP="00000000" w:rsidRDefault="00000000" w:rsidRPr="00000000" w14:paraId="00000037">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We are committed to work with our business partners to implement the </w:t>
      </w:r>
      <w:r w:rsidDel="00000000" w:rsidR="00000000" w:rsidRPr="00000000">
        <w:rPr>
          <w:rFonts w:ascii="Verdana" w:cs="Verdana" w:eastAsia="Verdana" w:hAnsi="Verdana"/>
          <w:i w:val="1"/>
          <w:sz w:val="19"/>
          <w:szCs w:val="19"/>
          <w:rtl w:val="0"/>
        </w:rPr>
        <w:t xml:space="preserve">OECD Guidelines for Multinational Enterprises</w:t>
      </w:r>
      <w:r w:rsidDel="00000000" w:rsidR="00000000" w:rsidRPr="00000000">
        <w:rPr>
          <w:rFonts w:ascii="Verdana" w:cs="Verdana" w:eastAsia="Verdana" w:hAnsi="Verdana"/>
          <w:sz w:val="19"/>
          <w:szCs w:val="19"/>
          <w:rtl w:val="0"/>
        </w:rPr>
        <w:t xml:space="preserve"> to promote supply chain transparency and establish long-term sustainable relationships. </w:t>
      </w:r>
    </w:p>
    <w:p w:rsidR="00000000" w:rsidDel="00000000" w:rsidP="00000000" w:rsidRDefault="00000000" w:rsidRPr="00000000" w14:paraId="00000038">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[Refer to separate Supplier Code of Conduct and/or Responsible Procurement Policy if applicable]</w:t>
      </w:r>
    </w:p>
    <w:p w:rsidR="00000000" w:rsidDel="00000000" w:rsidP="00000000" w:rsidRDefault="00000000" w:rsidRPr="00000000" w14:paraId="00000039">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5. Salient risks</w:t>
      </w:r>
    </w:p>
    <w:p w:rsidR="00000000" w:rsidDel="00000000" w:rsidP="00000000" w:rsidRDefault="00000000" w:rsidRPr="00000000" w14:paraId="0000003A">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[Once the risk identification is finished, companies could include a summary of those human and environmental rights that the business recognises as likely to be the most salient for its operations and information on how it will account for its actions to meet its responsibility to respect human and environmental rights.]</w:t>
      </w:r>
    </w:p>
    <w:p w:rsidR="00000000" w:rsidDel="00000000" w:rsidP="00000000" w:rsidRDefault="00000000" w:rsidRPr="00000000" w14:paraId="0000003B">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Salient environmental and human rights risks and violations are the most severe impacts that a company (or its business relationships) can have on people or the environment. We intend to further validate our areas of severe impact, assess their likelihood and severity in order to prioritise our impacts for risk management and to enable us to address them proactively. Therefore, our areas of severe impact are continuously evolving and are part of our due diligence commitment. </w:t>
      </w:r>
    </w:p>
    <w:p w:rsidR="00000000" w:rsidDel="00000000" w:rsidP="00000000" w:rsidRDefault="00000000" w:rsidRPr="00000000" w14:paraId="0000003C">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[Discuss next the salient risks for your organisation; at the end of this document you will find some examples, taken from </w:t>
      </w:r>
      <w:hyperlink r:id="rId8">
        <w:r w:rsidDel="00000000" w:rsidR="00000000" w:rsidRPr="00000000">
          <w:rPr>
            <w:rFonts w:ascii="Verdana" w:cs="Verdana" w:eastAsia="Verdana" w:hAnsi="Verdana"/>
            <w:i w:val="1"/>
            <w:color w:val="0563c1"/>
            <w:sz w:val="19"/>
            <w:szCs w:val="19"/>
            <w:u w:val="single"/>
            <w:rtl w:val="0"/>
          </w:rPr>
          <w:t xml:space="preserve">A Guide for Business: How to Develop A Human Rights Policy</w:t>
        </w:r>
      </w:hyperlink>
      <w:r w:rsidDel="00000000" w:rsidR="00000000" w:rsidRPr="00000000">
        <w:rPr>
          <w:rFonts w:ascii="Verdana" w:cs="Verdana" w:eastAsia="Verdana" w:hAnsi="Verdana"/>
          <w:i w:val="1"/>
          <w:sz w:val="19"/>
          <w:szCs w:val="19"/>
          <w:rtl w:val="0"/>
        </w:rPr>
        <w:t xml:space="preserve"> (UN Global Compact, 2015)]</w:t>
      </w:r>
    </w:p>
    <w:p w:rsidR="00000000" w:rsidDel="00000000" w:rsidP="00000000" w:rsidRDefault="00000000" w:rsidRPr="00000000" w14:paraId="0000003D">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6. Rule of law &amp; conflicting requirements</w:t>
      </w:r>
    </w:p>
    <w:p w:rsidR="00000000" w:rsidDel="00000000" w:rsidP="00000000" w:rsidRDefault="00000000" w:rsidRPr="00000000" w14:paraId="0000003E">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In all situations and contexts, and in all jurisdictions, </w:t>
      </w:r>
      <w:r w:rsidDel="00000000" w:rsidR="00000000" w:rsidRPr="00000000">
        <w:rPr>
          <w:rFonts w:ascii="Verdana" w:cs="Verdana" w:eastAsia="Verdana" w:hAnsi="Verdana"/>
          <w:sz w:val="19"/>
          <w:szCs w:val="19"/>
          <w:highlight w:val="yellow"/>
          <w:rtl w:val="0"/>
        </w:rPr>
        <w:t xml:space="preserve">[Company name]</w:t>
      </w:r>
      <w:r w:rsidDel="00000000" w:rsidR="00000000" w:rsidRPr="00000000">
        <w:rPr>
          <w:rFonts w:ascii="Verdana" w:cs="Verdana" w:eastAsia="Verdana" w:hAnsi="Verdana"/>
          <w:sz w:val="19"/>
          <w:szCs w:val="19"/>
          <w:rtl w:val="0"/>
        </w:rPr>
        <w:t xml:space="preserve"> will comply with applicable laws and international standards, respect the rule of law or this policy, and strive to respect internationally recognised human rights and environmental standards. We will seek ways to honour the principles of internationally recognised human rights and environmental standards when facing conflicting or unclear requirements. </w:t>
      </w:r>
    </w:p>
    <w:p w:rsidR="00000000" w:rsidDel="00000000" w:rsidP="00000000" w:rsidRDefault="00000000" w:rsidRPr="00000000" w14:paraId="0000003F">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7. Approval and oversight</w:t>
      </w:r>
    </w:p>
    <w:p w:rsidR="00000000" w:rsidDel="00000000" w:rsidP="00000000" w:rsidRDefault="00000000" w:rsidRPr="00000000" w14:paraId="00000040">
      <w:pP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This policy statement has been endorsed by the board of </w:t>
      </w:r>
      <w:r w:rsidDel="00000000" w:rsidR="00000000" w:rsidRPr="00000000">
        <w:rPr>
          <w:rFonts w:ascii="Verdana" w:cs="Verdana" w:eastAsia="Verdana" w:hAnsi="Verdana"/>
          <w:sz w:val="19"/>
          <w:szCs w:val="19"/>
          <w:highlight w:val="yellow"/>
          <w:rtl w:val="0"/>
        </w:rPr>
        <w:t xml:space="preserve">[company name]</w:t>
      </w:r>
      <w:r w:rsidDel="00000000" w:rsidR="00000000" w:rsidRPr="00000000">
        <w:rPr>
          <w:rFonts w:ascii="Verdana" w:cs="Verdana" w:eastAsia="Verdana" w:hAnsi="Verdana"/>
          <w:sz w:val="19"/>
          <w:szCs w:val="19"/>
          <w:rtl w:val="0"/>
        </w:rPr>
        <w:t xml:space="preserve"> and shall be overseen at board level by </w:t>
      </w:r>
      <w:r w:rsidDel="00000000" w:rsidR="00000000" w:rsidRPr="00000000">
        <w:rPr>
          <w:rFonts w:ascii="Verdana" w:cs="Verdana" w:eastAsia="Verdana" w:hAnsi="Verdana"/>
          <w:sz w:val="19"/>
          <w:szCs w:val="19"/>
          <w:highlight w:val="yellow"/>
          <w:rtl w:val="0"/>
        </w:rPr>
        <w:t xml:space="preserve">[name of person responsible for RBC]</w:t>
      </w:r>
      <w:r w:rsidDel="00000000" w:rsidR="00000000" w:rsidRPr="00000000">
        <w:rPr>
          <w:rFonts w:ascii="Verdana" w:cs="Verdana" w:eastAsia="Verdana" w:hAnsi="Verdana"/>
          <w:sz w:val="19"/>
          <w:szCs w:val="19"/>
          <w:rtl w:val="0"/>
        </w:rPr>
        <w:t xml:space="preserve">. </w:t>
      </w:r>
    </w:p>
    <w:p w:rsidR="00000000" w:rsidDel="00000000" w:rsidP="00000000" w:rsidRDefault="00000000" w:rsidRPr="00000000" w14:paraId="00000041">
      <w:pPr>
        <w:rPr>
          <w:rFonts w:ascii="Verdana" w:cs="Verdana" w:eastAsia="Verdana" w:hAnsi="Verdana"/>
          <w:sz w:val="19"/>
          <w:szCs w:val="19"/>
        </w:rPr>
      </w:pPr>
      <w:r w:rsidDel="00000000" w:rsidR="00000000" w:rsidRPr="00000000">
        <w:rPr>
          <w:rFonts w:ascii="Verdana" w:cs="Verdana" w:eastAsia="Verdana" w:hAnsi="Verdana"/>
          <w:sz w:val="19"/>
          <w:szCs w:val="19"/>
          <w:highlight w:val="yellow"/>
          <w:rtl w:val="0"/>
        </w:rPr>
        <w:t xml:space="preserve">[Company name]</w:t>
      </w:r>
      <w:r w:rsidDel="00000000" w:rsidR="00000000" w:rsidRPr="00000000">
        <w:rPr>
          <w:rFonts w:ascii="Verdana" w:cs="Verdana" w:eastAsia="Verdana" w:hAnsi="Verdana"/>
          <w:sz w:val="19"/>
          <w:szCs w:val="19"/>
          <w:rtl w:val="0"/>
        </w:rPr>
        <w:t xml:space="preserve"> will report, in our annual </w:t>
      </w:r>
      <w:r w:rsidDel="00000000" w:rsidR="00000000" w:rsidRPr="00000000">
        <w:rPr>
          <w:rFonts w:ascii="Verdana" w:cs="Verdana" w:eastAsia="Verdana" w:hAnsi="Verdana"/>
          <w:sz w:val="19"/>
          <w:szCs w:val="19"/>
          <w:highlight w:val="yellow"/>
          <w:rtl w:val="0"/>
        </w:rPr>
        <w:t xml:space="preserve">[sustainability / CSR / …]</w:t>
      </w:r>
      <w:r w:rsidDel="00000000" w:rsidR="00000000" w:rsidRPr="00000000">
        <w:rPr>
          <w:rFonts w:ascii="Verdana" w:cs="Verdana" w:eastAsia="Verdana" w:hAnsi="Verdana"/>
          <w:sz w:val="19"/>
          <w:szCs w:val="19"/>
          <w:rtl w:val="0"/>
        </w:rPr>
        <w:t xml:space="preserve"> report, on the progress of the implementation of this policy. The policy will be reviewed periodically to ensure that it continues to meet our targets.</w:t>
      </w:r>
    </w:p>
    <w:p w:rsidR="00000000" w:rsidDel="00000000" w:rsidP="00000000" w:rsidRDefault="00000000" w:rsidRPr="00000000" w14:paraId="00000042">
      <w:pPr>
        <w:rPr>
          <w:rFonts w:ascii="Verdana" w:cs="Verdana" w:eastAsia="Verdana" w:hAnsi="Verdana"/>
          <w:sz w:val="19"/>
          <w:szCs w:val="19"/>
        </w:rPr>
      </w:pPr>
      <w:r w:rsidDel="00000000" w:rsidR="00000000" w:rsidRPr="00000000">
        <w:br w:type="page"/>
      </w:r>
      <w:r w:rsidDel="00000000" w:rsidR="00000000" w:rsidRPr="00000000">
        <w:rPr>
          <w:rtl w:val="0"/>
        </w:rPr>
      </w:r>
    </w:p>
    <w:p w:rsidR="00000000" w:rsidDel="00000000" w:rsidP="00000000" w:rsidRDefault="00000000" w:rsidRPr="00000000" w14:paraId="00000043">
      <w:pPr>
        <w:rPr>
          <w:rFonts w:ascii="Verdana" w:cs="Verdana" w:eastAsia="Verdana" w:hAnsi="Verdana"/>
          <w:b w:val="1"/>
          <w:i w:val="1"/>
          <w:sz w:val="19"/>
          <w:szCs w:val="19"/>
        </w:rPr>
      </w:pPr>
      <w:r w:rsidDel="00000000" w:rsidR="00000000" w:rsidRPr="00000000">
        <w:rPr>
          <w:rFonts w:ascii="Verdana" w:cs="Verdana" w:eastAsia="Verdana" w:hAnsi="Verdana"/>
          <w:b w:val="1"/>
          <w:i w:val="1"/>
          <w:sz w:val="19"/>
          <w:szCs w:val="19"/>
          <w:rtl w:val="0"/>
        </w:rPr>
        <w:t xml:space="preserve">Annex 1: </w:t>
      </w:r>
    </w:p>
    <w:p w:rsidR="00000000" w:rsidDel="00000000" w:rsidP="00000000" w:rsidRDefault="00000000" w:rsidRPr="00000000" w14:paraId="00000044">
      <w:pPr>
        <w:rPr>
          <w:rFonts w:ascii="Verdana" w:cs="Verdana" w:eastAsia="Verdana" w:hAnsi="Verdana"/>
          <w:b w:val="1"/>
          <w:i w:val="1"/>
          <w:sz w:val="19"/>
          <w:szCs w:val="19"/>
        </w:rPr>
      </w:pPr>
      <w:r w:rsidDel="00000000" w:rsidR="00000000" w:rsidRPr="00000000">
        <w:rPr>
          <w:rFonts w:ascii="Verdana" w:cs="Verdana" w:eastAsia="Verdana" w:hAnsi="Verdana"/>
          <w:b w:val="1"/>
          <w:i w:val="1"/>
          <w:sz w:val="19"/>
          <w:szCs w:val="19"/>
          <w:rtl w:val="0"/>
        </w:rPr>
        <w:t xml:space="preserve">Examples of salient risks, taken from </w:t>
      </w:r>
      <w:hyperlink r:id="rId9">
        <w:r w:rsidDel="00000000" w:rsidR="00000000" w:rsidRPr="00000000">
          <w:rPr>
            <w:rFonts w:ascii="Verdana" w:cs="Verdana" w:eastAsia="Verdana" w:hAnsi="Verdana"/>
            <w:b w:val="1"/>
            <w:i w:val="1"/>
            <w:color w:val="0563c1"/>
            <w:sz w:val="19"/>
            <w:szCs w:val="19"/>
            <w:u w:val="single"/>
            <w:rtl w:val="0"/>
          </w:rPr>
          <w:t xml:space="preserve">A Guide for Business: How to Develop A Human Rights Policy</w:t>
        </w:r>
      </w:hyperlink>
      <w:r w:rsidDel="00000000" w:rsidR="00000000" w:rsidRPr="00000000">
        <w:rPr>
          <w:rFonts w:ascii="Verdana" w:cs="Verdana" w:eastAsia="Verdana" w:hAnsi="Verdana"/>
          <w:b w:val="1"/>
          <w:i w:val="1"/>
          <w:sz w:val="19"/>
          <w:szCs w:val="19"/>
          <w:rtl w:val="0"/>
        </w:rPr>
        <w:t xml:space="preserve"> (UN Global Compact, 2015)</w:t>
      </w:r>
    </w:p>
    <w:p w:rsidR="00000000" w:rsidDel="00000000" w:rsidP="00000000" w:rsidRDefault="00000000" w:rsidRPr="00000000" w14:paraId="00000045">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Non-discrimination: </w:t>
      </w:r>
    </w:p>
    <w:p w:rsidR="00000000" w:rsidDel="00000000" w:rsidP="00000000" w:rsidRDefault="00000000" w:rsidRPr="00000000" w14:paraId="00000046">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In all aspects of employment, such as recruitment, compensation and benefits, training, promotion, transfer and termination, we will treat individuals justly and in a non-discriminatory manner, solely according to their abilities to meet the requirements and standards of their role. We will do so without regard to factors such as (though not limited to) race, religion, colour, ethnic or national origin, disability, sexual orientation, gender or marital status.</w:t>
      </w:r>
    </w:p>
    <w:p w:rsidR="00000000" w:rsidDel="00000000" w:rsidP="00000000" w:rsidRDefault="00000000" w:rsidRPr="00000000" w14:paraId="00000047">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Living Income/ Fair wages / compensation:</w:t>
      </w:r>
    </w:p>
    <w:p w:rsidR="00000000" w:rsidDel="00000000" w:rsidP="00000000" w:rsidRDefault="00000000" w:rsidRPr="00000000" w14:paraId="00000048">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Every worker has a right to compensation for a regular work week that is sufficient to meet the worker’s basic needs and provide some discretionary income, also known as Living Income. Our business partners must pay at least the minimum wage or the appropriate prevailing wage, whichever is higher, comply with all legal requirements on wages, and provide any fringe benefits required by law, collective bargaining agreement or contract. If the compensation paid does not meet the workers’ living income, our business partners are required to take appropriate actions that seek to progressively realise a level of compensation that does (if present in cooperation with the trade union represented in the business).</w:t>
      </w:r>
    </w:p>
    <w:p w:rsidR="00000000" w:rsidDel="00000000" w:rsidP="00000000" w:rsidRDefault="00000000" w:rsidRPr="00000000" w14:paraId="00000049">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Child labour:</w:t>
      </w:r>
    </w:p>
    <w:p w:rsidR="00000000" w:rsidDel="00000000" w:rsidP="00000000" w:rsidRDefault="00000000" w:rsidRPr="00000000" w14:paraId="0000004A">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Child labour is not used. There is no recruitment of child labour. If any incidence of child labour is identified in the supplier’s industry and region, the supplier shall initiate, or participate in, a programme to transfer any children involved in child labour into quality education until they are no longer children. No one under eighteen years old is employed at night or in hazardous work or conditions. In this Code, "child" means anyone under fifteen years of age, unless national or local law stipulates a higher mandatory school leaving or minimum working age, in which case the higher age shall apply; and "child labour" means any work by a child or young person, unless it is considered acceptable under the ILO Minimum Age Convention 1973 (C138).</w:t>
      </w:r>
    </w:p>
    <w:p w:rsidR="00000000" w:rsidDel="00000000" w:rsidP="00000000" w:rsidRDefault="00000000" w:rsidRPr="00000000" w14:paraId="0000004B">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Freedom of association/collective bargaining:</w:t>
      </w:r>
    </w:p>
    <w:p w:rsidR="00000000" w:rsidDel="00000000" w:rsidP="00000000" w:rsidRDefault="00000000" w:rsidRPr="00000000" w14:paraId="0000004C">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The rights of the employees to choose to be a member of a trade union and to bargain collectively as permitted by local laws and regulations must not be interfered with or restricted. In situations or countries in which the rights regarding freedom of association and collective bargaining are restricted by law, parallel means to freedom of association and collective bargaining must be facilitated for all personnel by the vendor.</w:t>
      </w:r>
    </w:p>
    <w:p w:rsidR="00000000" w:rsidDel="00000000" w:rsidP="00000000" w:rsidRDefault="00000000" w:rsidRPr="00000000" w14:paraId="0000004D">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Indigenous peoples’ rights:</w:t>
      </w:r>
    </w:p>
    <w:p w:rsidR="00000000" w:rsidDel="00000000" w:rsidP="00000000" w:rsidRDefault="00000000" w:rsidRPr="00000000" w14:paraId="0000004E">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We respect the diversity of indigenous peoples, acknowledging the unique and important interests that they have in the land, waters and environment as well as their history, culture and traditional ways. Wherever we operate, we engage with communities and seek to understand the social, cultural, environmental and economic implications of our activities, so that we can respond to concerns and work to optimise benefits and reduce negative impacts, both for the local community and for the overall economy.</w:t>
      </w:r>
    </w:p>
    <w:p w:rsidR="00000000" w:rsidDel="00000000" w:rsidP="00000000" w:rsidRDefault="00000000" w:rsidRPr="00000000" w14:paraId="0000004F">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Security:</w:t>
      </w:r>
    </w:p>
    <w:p w:rsidR="00000000" w:rsidDel="00000000" w:rsidP="00000000" w:rsidRDefault="00000000" w:rsidRPr="00000000" w14:paraId="00000050">
      <w:pPr>
        <w:rPr>
          <w:rFonts w:ascii="Verdana" w:cs="Verdana" w:eastAsia="Verdana" w:hAnsi="Verdana"/>
          <w:i w:val="1"/>
          <w:sz w:val="19"/>
          <w:szCs w:val="19"/>
        </w:rPr>
      </w:pPr>
      <w:r w:rsidDel="00000000" w:rsidR="00000000" w:rsidRPr="00000000">
        <w:rPr>
          <w:rFonts w:ascii="Verdana" w:cs="Verdana" w:eastAsia="Verdana" w:hAnsi="Verdana"/>
          <w:i w:val="1"/>
          <w:sz w:val="19"/>
          <w:szCs w:val="19"/>
          <w:rtl w:val="0"/>
        </w:rPr>
        <w:t xml:space="preserve">We only allow armed security when required by law or when considered that there is no other way to manage security risks. All armed guards must meet our standards, based on UN guidelines and conventions on the use of force and the Voluntary Principles on Security and Human Rights.</w:t>
      </w:r>
    </w:p>
    <w:p w:rsidR="00000000" w:rsidDel="00000000" w:rsidP="00000000" w:rsidRDefault="00000000" w:rsidRPr="00000000" w14:paraId="00000051">
      <w:pPr>
        <w:rPr>
          <w:rFonts w:ascii="Verdana" w:cs="Verdana" w:eastAsia="Verdana" w:hAnsi="Verdana"/>
        </w:rPr>
      </w:pPr>
      <w:r w:rsidDel="00000000" w:rsidR="00000000" w:rsidRPr="00000000">
        <w:br w:type="page"/>
      </w:r>
      <w:r w:rsidDel="00000000" w:rsidR="00000000" w:rsidRPr="00000000">
        <w:rPr>
          <w:rFonts w:ascii="Verdana" w:cs="Verdana" w:eastAsia="Verdana" w:hAnsi="Verdana"/>
          <w:b w:val="1"/>
          <w:rtl w:val="0"/>
        </w:rPr>
        <w:t xml:space="preserve">Annex II of the OECD Due Diligence Guidance for Responsible Supply Chains of Minerals from Conflict-Affected and High-Risk Areas</w:t>
      </w:r>
      <w:r w:rsidDel="00000000" w:rsidR="00000000" w:rsidRPr="00000000">
        <w:rPr>
          <w:rtl w:val="0"/>
        </w:rPr>
      </w:r>
    </w:p>
    <w:p w:rsidR="00000000" w:rsidDel="00000000" w:rsidP="00000000" w:rsidRDefault="00000000" w:rsidRPr="00000000" w14:paraId="00000052">
      <w:pPr>
        <w:rPr>
          <w:rFonts w:ascii="Verdana" w:cs="Verdana" w:eastAsia="Verdana" w:hAnsi="Verdana"/>
          <w:b w:val="1"/>
        </w:rPr>
      </w:pPr>
      <w:r w:rsidDel="00000000" w:rsidR="00000000" w:rsidRPr="00000000">
        <w:rPr>
          <w:rFonts w:ascii="Verdana" w:cs="Verdana" w:eastAsia="Verdana" w:hAnsi="Verdana"/>
          <w:b w:val="1"/>
          <w:rtl w:val="0"/>
        </w:rPr>
        <w:t xml:space="preserve">(For companies that use gold, tin, tungsten or tantalum)</w:t>
      </w:r>
    </w:p>
    <w:p w:rsidR="00000000" w:rsidDel="00000000" w:rsidP="00000000" w:rsidRDefault="00000000" w:rsidRPr="00000000" w14:paraId="00000053">
      <w:pPr>
        <w:rPr>
          <w:rFonts w:ascii="Verdana" w:cs="Verdana" w:eastAsia="Verdana" w:hAnsi="Verdana"/>
          <w:b w:val="1"/>
        </w:rPr>
      </w:pPr>
      <w:r w:rsidDel="00000000" w:rsidR="00000000" w:rsidRPr="00000000">
        <w:rPr>
          <w:rtl w:val="0"/>
        </w:rPr>
      </w:r>
    </w:p>
    <w:p w:rsidR="00000000" w:rsidDel="00000000" w:rsidP="00000000" w:rsidRDefault="00000000" w:rsidRPr="00000000" w14:paraId="00000054">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Serious abuses associated with the extraction, transport or trade of minerals: </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While sourcing from, or operating in, conflict-affected and high-risk areas, we will neither tolerate nor by any means profit from, contribute to, assist with or facilitate the commission by any party of:</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any forms of torture, cruel, inhuman and degrading treatment; </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any forms of forced or compulsory labour, which means work or service which is exacted from any person under the menace of penalty and for which said person has not offered himself voluntarily;</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the worst forms of child labour;</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other gross human rights violations and abuses such as widespread sexual violence;</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war crimes or other serious violations of international humanitarian law, crimes against humanity or genocide.</w:t>
      </w:r>
    </w:p>
    <w:p w:rsidR="00000000" w:rsidDel="00000000" w:rsidP="00000000" w:rsidRDefault="00000000" w:rsidRPr="00000000" w14:paraId="0000005B">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Risk management of serious abuses: </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We will immediately suspend or discontinue engagement with upstream suppliers where we identify a reasonable risk that they are sourcing from, or linked to, any party committing serious abuses as defined in paragraph 1.</w:t>
      </w:r>
    </w:p>
    <w:p w:rsidR="00000000" w:rsidDel="00000000" w:rsidP="00000000" w:rsidRDefault="00000000" w:rsidRPr="00000000" w14:paraId="0000005D">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Direct or indirect support to non-state armed groups:</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We will not tolerate any direct or indirect support to non-state armed groups through the extraction, transport, trade, handling or export of minerals. “Direct or indirect support” to non-state armed groups through the extraction, transport, trade, handling or export of minerals includes, but is not limited to, procuring minerals from, making payments to or otherwise providing logistical assistance or equipment to, non-state armed groups or their affiliates who:</w:t>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illegally control mine sites or otherwise control transportation routes, points where minerals are traded and upstream actors in the supply chain;5 and/or </w:t>
      </w:r>
    </w:p>
    <w:p w:rsidR="00000000" w:rsidDel="00000000" w:rsidP="00000000" w:rsidRDefault="00000000" w:rsidRPr="00000000" w14:paraId="000000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illegally tax or extort6 money or minerals at points of access to mine sites, along transportation routes or at points where minerals are traded; and/or </w:t>
      </w:r>
    </w:p>
    <w:p w:rsidR="00000000" w:rsidDel="00000000" w:rsidP="00000000" w:rsidRDefault="00000000" w:rsidRPr="00000000" w14:paraId="0000006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illegally tax or extort intermediaries, export companies or international traders.</w:t>
      </w:r>
    </w:p>
    <w:p w:rsidR="00000000" w:rsidDel="00000000" w:rsidP="00000000" w:rsidRDefault="00000000" w:rsidRPr="00000000" w14:paraId="00000062">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Risk management of direct or indirect support to non-state armed groups: </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We will immediately suspend or discontinue engagement with upstream suppliers where we identify a reasonable risk that they are sourcing from, or linked to, any party providing direct or indirect support to non-state armed groups as defined in paragraph 3.</w:t>
      </w:r>
    </w:p>
    <w:p w:rsidR="00000000" w:rsidDel="00000000" w:rsidP="00000000" w:rsidRDefault="00000000" w:rsidRPr="00000000" w14:paraId="00000064">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Public or private security forces:</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We agree to eliminate, in accordance with paragraph 10, direct or indirect support to public or private security forces who illegally control mine sites, transportation routes and upstream actors in the supply chain; illegally tax or extort money or minerals at point of access to mine sites, along transportation routes or at points where minerals are traded; or illegally tax or extort intermediaries, export companies or international traders.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We recognise that the role of public or private security forces at the mine sites and/or surrounding areas and/or along transportation routes should be solely to maintain the rule of law, including safeguarding human rights, providing security to mine workers, equipment and facilities, and protecting the mine site or transportation routes from interference with legitimate extraction and trade.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Where we or any company in our supply chain contract public or private security forces, we commit to or we will require that such security forces will be engaged in accordance with the Voluntary Principles on Security and Human Rights. In particular, we will support or take steps, to adopt screening policies to ensure that individuals or units of security forces that are known to have been responsible for gross human rights abuses will not be hired.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We will support efforts, or take steps, to engage with central or local authorities, international organisations and civil society organisations to contribute to workable solutions on how transparency, proportionality and accountability in payments made to public security forces for the provision of security could be improved.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We will support efforts, or take steps, to engage with local authorities, international organisations and civil society organisations to avoid or minimise the exposure of vulnerable groups, in particular, artisanal miners where minerals in the supply chain are extracted through artisanal or small-scale mining, to adverse impacts associated with the presence of security forces, public or private, on mine sites.</w:t>
      </w:r>
    </w:p>
    <w:p w:rsidR="00000000" w:rsidDel="00000000" w:rsidP="00000000" w:rsidRDefault="00000000" w:rsidRPr="00000000" w14:paraId="0000006E">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Risk management of public or private security forces: </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In accordance with the specific position of the company in the supply chain, we will immediately devise, adopt and implement a risk management plan with upstream suppliers and other stakeholders to prevent or mitigate the risk of direct or indirect support to public or private security forces, as identified in paragraph 5, where we identify that such a reasonable risk exists. In such cases, we will suspend or discontinue engagement with upstream suppliers after failed attempts at mitigation within six months from the adoption of the risk management plan.8 Where we identify a reasonable risk of activities inconsistent with paragraphs 8 and 9, we will respond in the same vein.</w:t>
      </w:r>
    </w:p>
    <w:p w:rsidR="00000000" w:rsidDel="00000000" w:rsidP="00000000" w:rsidRDefault="00000000" w:rsidRPr="00000000" w14:paraId="00000070">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Bribery and fraudulent misrepresentation of the origin of minerals: </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We will not offer, promise, give or demand any bribes, and will resist the solicitation of bribes to conceal or disguise the origin of minerals, to misrepresent taxes, fees and royalties paid to governments for the purposes of mineral extraction, trade, handling, transport and export.</w:t>
      </w:r>
    </w:p>
    <w:p w:rsidR="00000000" w:rsidDel="00000000" w:rsidP="00000000" w:rsidRDefault="00000000" w:rsidRPr="00000000" w14:paraId="00000072">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Money laundering: </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We will support efforts, or take steps, to contribute to the effective elimination of money laundering where we identify a reasonable risk of money-laundering resulting from, or connected to, the extraction, trade, handling, transport or export of minerals derived from the illegal taxation or extortion of minerals at points of access to mine sites, along transportation routes or at points where minerals are traded by upstream suppliers.</w:t>
      </w:r>
    </w:p>
    <w:p w:rsidR="00000000" w:rsidDel="00000000" w:rsidP="00000000" w:rsidRDefault="00000000" w:rsidRPr="00000000" w14:paraId="00000074">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Payment of taxes, fees and royalties due to governments: </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We will ensure that all taxes, fees, and royalties related to mineral extraction, trade and export from conflict-affected and high-risk areas are paid to governments and, in accordance with the company’s position in the supply chain, we commit to disclose such payments in accordance with the principles set forth under the Extractive Industry Transparency Initiative (EITI). </w:t>
      </w:r>
    </w:p>
    <w:p w:rsidR="00000000" w:rsidDel="00000000" w:rsidP="00000000" w:rsidRDefault="00000000" w:rsidRPr="00000000" w14:paraId="00000076">
      <w:pPr>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Risk management of bribery and fraudulent misrepresentation of the origin of minerals, money-laundering and payment of taxes, fees and royalties to governments: </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In accordance with the specific position of the company in the supply chain, we commit to engage with suppliers, central or local governmental authorities, international organisations, civil society and affected third parties, as appropriate, to improve and track performance with a view to preventing or mitigating risks of adverse impacts through </w:t>
      </w:r>
      <w:r w:rsidDel="00000000" w:rsidR="00000000" w:rsidRPr="00000000">
        <w:rPr>
          <w:rFonts w:ascii="Verdana" w:cs="Verdana" w:eastAsia="Verdana" w:hAnsi="Verdana"/>
          <w:sz w:val="19"/>
          <w:szCs w:val="19"/>
          <w:rtl w:val="0"/>
        </w:rPr>
        <w:t xml:space="preserve">measurable</w:t>
      </w: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 steps taken in reasonable timescales. We will suspend or discontinue engagement with upstream suppliers after failed attempts at mitigation.</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Under Principle 12 of the UNGPs, companies are expected to respect specific standards applying to potentially vulnerable or marginalised groups. Commentary: “Depending on circumstances, business enterprises may need to consider additional standards. For instance, enterprises should respect the human rights of individuals belonging to specific groups or populations that require particular attention, where they may have adverse human rights impacts on them. In this connection, United Nations instruments have elaborated further on the rights of indigenous peoples; women; national or ethnic, religious and linguistic minorities; children; persons with disabilities; and migrant workers and their families.”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Verdana" w:cs="Verdana" w:eastAsia="Verdana" w:hAnsi="Verdana"/>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Roman"/>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724654"/>
    <w:pPr>
      <w:ind w:left="720"/>
      <w:contextualSpacing w:val="1"/>
    </w:pPr>
  </w:style>
  <w:style w:type="character" w:styleId="Hyperlink">
    <w:name w:val="Hyperlink"/>
    <w:basedOn w:val="Standaardalinea-lettertype"/>
    <w:uiPriority w:val="99"/>
    <w:unhideWhenUsed w:val="1"/>
    <w:rsid w:val="00A84C4C"/>
    <w:rPr>
      <w:color w:val="0563c1" w:themeColor="hyperlink"/>
      <w:u w:val="single"/>
    </w:rPr>
  </w:style>
  <w:style w:type="character" w:styleId="Onopgelostemelding1" w:customStyle="1">
    <w:name w:val="Onopgeloste melding1"/>
    <w:basedOn w:val="Standaardalinea-lettertype"/>
    <w:uiPriority w:val="99"/>
    <w:semiHidden w:val="1"/>
    <w:unhideWhenUsed w:val="1"/>
    <w:rsid w:val="00A84C4C"/>
    <w:rPr>
      <w:color w:val="605e5c"/>
      <w:shd w:color="auto" w:fill="e1dfdd" w:val="clear"/>
    </w:rPr>
  </w:style>
  <w:style w:type="character" w:styleId="Verwijzingopmerking">
    <w:name w:val="annotation reference"/>
    <w:basedOn w:val="Standaardalinea-lettertype"/>
    <w:uiPriority w:val="99"/>
    <w:semiHidden w:val="1"/>
    <w:unhideWhenUsed w:val="1"/>
    <w:rsid w:val="002718C1"/>
    <w:rPr>
      <w:sz w:val="16"/>
      <w:szCs w:val="16"/>
    </w:rPr>
  </w:style>
  <w:style w:type="paragraph" w:styleId="Tekstopmerking">
    <w:name w:val="annotation text"/>
    <w:basedOn w:val="Standaard"/>
    <w:link w:val="TekstopmerkingChar"/>
    <w:uiPriority w:val="99"/>
    <w:semiHidden w:val="1"/>
    <w:unhideWhenUsed w:val="1"/>
    <w:rsid w:val="002718C1"/>
    <w:pPr>
      <w:spacing w:line="240" w:lineRule="auto"/>
    </w:pPr>
    <w:rPr>
      <w:sz w:val="20"/>
      <w:szCs w:val="20"/>
    </w:rPr>
  </w:style>
  <w:style w:type="character" w:styleId="TekstopmerkingChar" w:customStyle="1">
    <w:name w:val="Tekst opmerking Char"/>
    <w:basedOn w:val="Standaardalinea-lettertype"/>
    <w:link w:val="Tekstopmerking"/>
    <w:uiPriority w:val="99"/>
    <w:semiHidden w:val="1"/>
    <w:rsid w:val="002718C1"/>
    <w:rPr>
      <w:sz w:val="20"/>
      <w:szCs w:val="20"/>
    </w:rPr>
  </w:style>
  <w:style w:type="paragraph" w:styleId="Onderwerpvanopmerking">
    <w:name w:val="annotation subject"/>
    <w:basedOn w:val="Tekstopmerking"/>
    <w:next w:val="Tekstopmerking"/>
    <w:link w:val="OnderwerpvanopmerkingChar"/>
    <w:uiPriority w:val="99"/>
    <w:semiHidden w:val="1"/>
    <w:unhideWhenUsed w:val="1"/>
    <w:rsid w:val="002718C1"/>
    <w:rPr>
      <w:b w:val="1"/>
      <w:bCs w:val="1"/>
    </w:rPr>
  </w:style>
  <w:style w:type="character" w:styleId="OnderwerpvanopmerkingChar" w:customStyle="1">
    <w:name w:val="Onderwerp van opmerking Char"/>
    <w:basedOn w:val="TekstopmerkingChar"/>
    <w:link w:val="Onderwerpvanopmerking"/>
    <w:uiPriority w:val="99"/>
    <w:semiHidden w:val="1"/>
    <w:rsid w:val="002718C1"/>
    <w:rPr>
      <w:b w:val="1"/>
      <w:bCs w:val="1"/>
      <w:sz w:val="20"/>
      <w:szCs w:val="20"/>
    </w:rPr>
  </w:style>
  <w:style w:type="paragraph" w:styleId="Ballontekst">
    <w:name w:val="Balloon Text"/>
    <w:basedOn w:val="Standaard"/>
    <w:link w:val="BallontekstChar"/>
    <w:uiPriority w:val="99"/>
    <w:semiHidden w:val="1"/>
    <w:unhideWhenUsed w:val="1"/>
    <w:rsid w:val="002718C1"/>
    <w:pPr>
      <w:spacing w:after="0" w:line="240" w:lineRule="auto"/>
    </w:pPr>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2718C1"/>
    <w:rPr>
      <w:rFonts w:ascii="Segoe UI" w:cs="Segoe UI" w:hAnsi="Segoe UI"/>
      <w:sz w:val="18"/>
      <w:szCs w:val="18"/>
    </w:rPr>
  </w:style>
  <w:style w:type="paragraph" w:styleId="Voetnoottekst">
    <w:name w:val="footnote text"/>
    <w:basedOn w:val="Standaard"/>
    <w:link w:val="VoetnoottekstChar"/>
    <w:uiPriority w:val="99"/>
    <w:semiHidden w:val="1"/>
    <w:unhideWhenUsed w:val="1"/>
    <w:rsid w:val="00B66730"/>
    <w:pPr>
      <w:spacing w:after="0" w:line="240" w:lineRule="auto"/>
    </w:pPr>
    <w:rPr>
      <w:sz w:val="20"/>
      <w:szCs w:val="20"/>
    </w:rPr>
  </w:style>
  <w:style w:type="character" w:styleId="VoetnoottekstChar" w:customStyle="1">
    <w:name w:val="Voetnoottekst Char"/>
    <w:basedOn w:val="Standaardalinea-lettertype"/>
    <w:link w:val="Voetnoottekst"/>
    <w:uiPriority w:val="99"/>
    <w:semiHidden w:val="1"/>
    <w:rsid w:val="00B66730"/>
    <w:rPr>
      <w:sz w:val="20"/>
      <w:szCs w:val="20"/>
    </w:rPr>
  </w:style>
  <w:style w:type="character" w:styleId="Voetnootmarkering">
    <w:name w:val="footnote reference"/>
    <w:basedOn w:val="Standaardalinea-lettertype"/>
    <w:uiPriority w:val="99"/>
    <w:semiHidden w:val="1"/>
    <w:unhideWhenUsed w:val="1"/>
    <w:rsid w:val="00B66730"/>
    <w:rPr>
      <w:vertAlign w:val="superscript"/>
    </w:rPr>
  </w:style>
  <w:style w:type="paragraph" w:styleId="Koptekst">
    <w:name w:val="header"/>
    <w:basedOn w:val="Standaard"/>
    <w:link w:val="KoptekstChar"/>
    <w:uiPriority w:val="99"/>
    <w:unhideWhenUsed w:val="1"/>
    <w:rsid w:val="00696FB5"/>
    <w:pPr>
      <w:tabs>
        <w:tab w:val="center" w:pos="4703"/>
        <w:tab w:val="right" w:pos="9406"/>
      </w:tabs>
      <w:spacing w:after="0" w:line="240" w:lineRule="auto"/>
    </w:pPr>
  </w:style>
  <w:style w:type="character" w:styleId="KoptekstChar" w:customStyle="1">
    <w:name w:val="Koptekst Char"/>
    <w:basedOn w:val="Standaardalinea-lettertype"/>
    <w:link w:val="Koptekst"/>
    <w:uiPriority w:val="99"/>
    <w:rsid w:val="00696FB5"/>
  </w:style>
  <w:style w:type="paragraph" w:styleId="Voettekst">
    <w:name w:val="footer"/>
    <w:basedOn w:val="Standaard"/>
    <w:link w:val="VoettekstChar"/>
    <w:uiPriority w:val="99"/>
    <w:unhideWhenUsed w:val="1"/>
    <w:rsid w:val="00696FB5"/>
    <w:pPr>
      <w:tabs>
        <w:tab w:val="center" w:pos="4703"/>
        <w:tab w:val="right" w:pos="9406"/>
      </w:tabs>
      <w:spacing w:after="0" w:line="240" w:lineRule="auto"/>
    </w:pPr>
  </w:style>
  <w:style w:type="character" w:styleId="VoettekstChar" w:customStyle="1">
    <w:name w:val="Voettekst Char"/>
    <w:basedOn w:val="Standaardalinea-lettertype"/>
    <w:link w:val="Voettekst"/>
    <w:uiPriority w:val="99"/>
    <w:rsid w:val="00696FB5"/>
  </w:style>
  <w:style w:type="character" w:styleId="GevolgdeHyperlink">
    <w:name w:val="FollowedHyperlink"/>
    <w:basedOn w:val="Standaardalinea-lettertype"/>
    <w:uiPriority w:val="99"/>
    <w:semiHidden w:val="1"/>
    <w:unhideWhenUsed w:val="1"/>
    <w:rsid w:val="00DB1EF0"/>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nglobalcompact.org/docs/issues_doc/human_rights/Resources/HR_Policy_Guide_2nd_Edition.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unglobalcompact.org/docs/issues_doc/human_rights/Resources/HR_Policy_Guide_2nd_Editio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DPUs5WUIS8Iq2Qiy3bxrhrtsNw==">CgMxLjA4AHIhMURzWE5xNEdvU1dKTVJLRUJGWmw2aDVVSEVzc3FoQ0p2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2025-04-22T07:12:00Z</dcterms:created>
  <dc:creator>Vincent Vleugel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0x0101004F02530261DF5F458B1B53B981C92011</vt:lpwstr>
  </property>
</Properties>
</file>